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31D1C" w14:textId="1DBE3B46" w:rsidR="0080392C" w:rsidRPr="00AA5C2B" w:rsidRDefault="0080392C" w:rsidP="0080392C">
      <w:pPr>
        <w:spacing w:before="240" w:after="240"/>
        <w:rPr>
          <w:rFonts w:ascii="Arial" w:eastAsia="Aptos" w:hAnsi="Arial" w:cs="Arial"/>
          <w:sz w:val="20"/>
          <w:szCs w:val="20"/>
        </w:rPr>
      </w:pPr>
      <w:r w:rsidRPr="00AA5C2B">
        <w:rPr>
          <w:rFonts w:ascii="Arial" w:eastAsia="Aptos" w:hAnsi="Arial" w:cs="Arial"/>
          <w:sz w:val="20"/>
          <w:szCs w:val="20"/>
        </w:rPr>
        <w:t>Dear Valued Member,</w:t>
      </w:r>
    </w:p>
    <w:p w14:paraId="62DEB531" w14:textId="0C7D7A1A" w:rsidR="0080392C" w:rsidRPr="00AA5C2B" w:rsidRDefault="0080392C" w:rsidP="0080392C">
      <w:pPr>
        <w:spacing w:before="240" w:after="240"/>
        <w:rPr>
          <w:rFonts w:ascii="Arial" w:eastAsia="Aptos" w:hAnsi="Arial" w:cs="Arial"/>
          <w:sz w:val="20"/>
          <w:szCs w:val="20"/>
        </w:rPr>
      </w:pPr>
      <w:r w:rsidRPr="00AA5C2B">
        <w:rPr>
          <w:rFonts w:ascii="Arial" w:eastAsia="Aptos" w:hAnsi="Arial" w:cs="Arial"/>
          <w:sz w:val="20"/>
          <w:szCs w:val="20"/>
        </w:rPr>
        <w:t xml:space="preserve">We are announcing updates to the </w:t>
      </w:r>
      <w:proofErr w:type="spellStart"/>
      <w:r w:rsidRPr="00AA5C2B">
        <w:rPr>
          <w:rFonts w:ascii="Arial" w:eastAsia="Aptos" w:hAnsi="Arial" w:cs="Arial"/>
          <w:b/>
          <w:bCs/>
          <w:sz w:val="20"/>
          <w:szCs w:val="20"/>
        </w:rPr>
        <w:t>ShareWELL</w:t>
      </w:r>
      <w:proofErr w:type="spellEnd"/>
      <w:r w:rsidRPr="00AA5C2B">
        <w:rPr>
          <w:rFonts w:ascii="Arial" w:eastAsia="Aptos" w:hAnsi="Arial" w:cs="Arial"/>
          <w:b/>
          <w:bCs/>
          <w:sz w:val="20"/>
          <w:szCs w:val="20"/>
        </w:rPr>
        <w:t xml:space="preserve"> Member Guidelines</w:t>
      </w:r>
      <w:r w:rsidRPr="00AA5C2B">
        <w:rPr>
          <w:rFonts w:ascii="Arial" w:eastAsia="Aptos" w:hAnsi="Arial" w:cs="Arial"/>
          <w:sz w:val="20"/>
          <w:szCs w:val="20"/>
        </w:rPr>
        <w:t xml:space="preserve">, which will take effect on </w:t>
      </w:r>
      <w:r w:rsidR="008731DE">
        <w:rPr>
          <w:rFonts w:ascii="Arial" w:eastAsia="Aptos" w:hAnsi="Arial" w:cs="Arial"/>
          <w:b/>
          <w:bCs/>
          <w:sz w:val="20"/>
          <w:szCs w:val="20"/>
        </w:rPr>
        <w:t>September</w:t>
      </w:r>
      <w:r w:rsidRPr="00AA5C2B">
        <w:rPr>
          <w:rFonts w:ascii="Arial" w:eastAsia="Aptos" w:hAnsi="Arial" w:cs="Arial"/>
          <w:b/>
          <w:bCs/>
          <w:sz w:val="20"/>
          <w:szCs w:val="20"/>
        </w:rPr>
        <w:t xml:space="preserve"> 1, 2025</w:t>
      </w:r>
      <w:r w:rsidRPr="00AA5C2B">
        <w:rPr>
          <w:rFonts w:ascii="Arial" w:eastAsia="Aptos" w:hAnsi="Arial" w:cs="Arial"/>
          <w:sz w:val="20"/>
          <w:szCs w:val="20"/>
        </w:rPr>
        <w:t>. These updates were reviewed and recommended by our board of directors and approved unanimously.</w:t>
      </w:r>
    </w:p>
    <w:p w14:paraId="14D9FB7C" w14:textId="0F15D9C4" w:rsidR="0080392C" w:rsidRPr="00AA5C2B" w:rsidRDefault="0080392C" w:rsidP="0080392C">
      <w:pPr>
        <w:spacing w:before="240" w:after="240"/>
        <w:rPr>
          <w:rFonts w:ascii="Arial" w:eastAsia="Aptos" w:hAnsi="Arial" w:cs="Arial"/>
          <w:sz w:val="20"/>
          <w:szCs w:val="20"/>
        </w:rPr>
      </w:pPr>
      <w:r w:rsidRPr="00AA5C2B">
        <w:rPr>
          <w:rFonts w:ascii="Arial" w:eastAsia="Aptos" w:hAnsi="Arial" w:cs="Arial"/>
          <w:sz w:val="20"/>
          <w:szCs w:val="20"/>
        </w:rPr>
        <w:t xml:space="preserve">The </w:t>
      </w:r>
      <w:r w:rsidRPr="00AA5C2B">
        <w:rPr>
          <w:rFonts w:ascii="Arial" w:eastAsia="Aptos" w:hAnsi="Arial" w:cs="Arial"/>
          <w:b/>
          <w:bCs/>
          <w:sz w:val="20"/>
          <w:szCs w:val="20"/>
        </w:rPr>
        <w:t xml:space="preserve">revised guidelines will apply only to Sharing Requests submitted on or after </w:t>
      </w:r>
      <w:r w:rsidR="008731DE">
        <w:rPr>
          <w:rFonts w:ascii="Arial" w:eastAsia="Aptos" w:hAnsi="Arial" w:cs="Arial"/>
          <w:b/>
          <w:bCs/>
          <w:sz w:val="20"/>
          <w:szCs w:val="20"/>
        </w:rPr>
        <w:t xml:space="preserve">September </w:t>
      </w:r>
      <w:r w:rsidR="001E5371" w:rsidRPr="00AA5C2B">
        <w:rPr>
          <w:rFonts w:ascii="Arial" w:eastAsia="Aptos" w:hAnsi="Arial" w:cs="Arial"/>
          <w:b/>
          <w:bCs/>
          <w:sz w:val="20"/>
          <w:szCs w:val="20"/>
        </w:rPr>
        <w:t>1</w:t>
      </w:r>
      <w:r w:rsidRPr="00AA5C2B">
        <w:rPr>
          <w:rFonts w:ascii="Arial" w:eastAsia="Aptos" w:hAnsi="Arial" w:cs="Arial"/>
          <w:b/>
          <w:bCs/>
          <w:sz w:val="20"/>
          <w:szCs w:val="20"/>
        </w:rPr>
        <w:t>, 2025</w:t>
      </w:r>
      <w:r w:rsidRPr="00AA5C2B">
        <w:rPr>
          <w:rFonts w:ascii="Arial" w:eastAsia="Aptos" w:hAnsi="Arial" w:cs="Arial"/>
          <w:sz w:val="20"/>
          <w:szCs w:val="20"/>
        </w:rPr>
        <w:t xml:space="preserve">. </w:t>
      </w:r>
      <w:r w:rsidR="00BF0061" w:rsidRPr="006A75DE">
        <w:rPr>
          <w:rFonts w:ascii="Arial" w:eastAsia="Aptos" w:hAnsi="Arial" w:cs="Arial"/>
          <w:sz w:val="20"/>
          <w:szCs w:val="20"/>
        </w:rPr>
        <w:t>Sharing Requests submitted prior to this date will be reviewed based on the guidelines in effect at the time of submission.</w:t>
      </w:r>
      <w:r w:rsidR="00BF0061">
        <w:rPr>
          <w:rFonts w:ascii="Arial" w:eastAsia="Aptos" w:hAnsi="Arial" w:cs="Arial"/>
          <w:sz w:val="20"/>
          <w:szCs w:val="20"/>
        </w:rPr>
        <w:t xml:space="preserve"> The exception to this is the new 90 day waiting period will only affect enrollments that happen after October 1, 2025.</w:t>
      </w:r>
    </w:p>
    <w:p w14:paraId="10BCC0C5" w14:textId="77777777" w:rsidR="0091475E" w:rsidRPr="006A75DE" w:rsidRDefault="0091475E" w:rsidP="0091475E">
      <w:pPr>
        <w:spacing w:before="240" w:after="240"/>
        <w:rPr>
          <w:rFonts w:ascii="Arial" w:hAnsi="Arial" w:cs="Arial"/>
          <w:b/>
          <w:bCs/>
          <w:sz w:val="20"/>
          <w:szCs w:val="20"/>
        </w:rPr>
      </w:pPr>
      <w:r w:rsidRPr="006A75DE">
        <w:rPr>
          <w:rFonts w:ascii="Arial" w:hAnsi="Arial" w:cs="Arial"/>
          <w:b/>
          <w:bCs/>
          <w:sz w:val="20"/>
          <w:szCs w:val="20"/>
        </w:rPr>
        <w:t>Overview:</w:t>
      </w:r>
    </w:p>
    <w:p w14:paraId="343BF419" w14:textId="77777777" w:rsidR="0091475E" w:rsidRPr="006A75DE" w:rsidRDefault="0091475E" w:rsidP="0091475E">
      <w:pPr>
        <w:spacing w:before="240" w:after="240"/>
        <w:rPr>
          <w:rFonts w:ascii="Arial" w:hAnsi="Arial" w:cs="Arial"/>
          <w:sz w:val="20"/>
          <w:szCs w:val="20"/>
        </w:rPr>
      </w:pPr>
      <w:r w:rsidRPr="006A75DE">
        <w:rPr>
          <w:rFonts w:ascii="Arial" w:hAnsi="Arial" w:cs="Arial"/>
          <w:b/>
          <w:bCs/>
          <w:sz w:val="20"/>
          <w:szCs w:val="20"/>
        </w:rPr>
        <w:t>New Principle</w:t>
      </w:r>
      <w:r w:rsidRPr="006A75DE">
        <w:rPr>
          <w:rFonts w:ascii="Arial" w:hAnsi="Arial" w:cs="Arial"/>
          <w:sz w:val="20"/>
          <w:szCs w:val="20"/>
        </w:rPr>
        <w:t>:</w:t>
      </w:r>
    </w:p>
    <w:p w14:paraId="7B103533" w14:textId="77777777" w:rsidR="0091475E" w:rsidRDefault="0091475E" w:rsidP="0091475E">
      <w:pPr>
        <w:pStyle w:val="ListParagraph"/>
        <w:numPr>
          <w:ilvl w:val="0"/>
          <w:numId w:val="3"/>
        </w:numPr>
        <w:spacing w:after="0" w:line="331" w:lineRule="auto"/>
        <w:rPr>
          <w:rFonts w:ascii="Arial" w:hAnsi="Arial" w:cs="Arial"/>
          <w:sz w:val="20"/>
          <w:szCs w:val="20"/>
        </w:rPr>
      </w:pPr>
      <w:r w:rsidRPr="006A75DE">
        <w:rPr>
          <w:rFonts w:ascii="Arial" w:hAnsi="Arial" w:cs="Arial"/>
          <w:sz w:val="20"/>
          <w:szCs w:val="20"/>
        </w:rPr>
        <w:t xml:space="preserve">Members agree to work with </w:t>
      </w:r>
      <w:proofErr w:type="spellStart"/>
      <w:r w:rsidRPr="006A75DE">
        <w:rPr>
          <w:rFonts w:ascii="Arial" w:hAnsi="Arial" w:cs="Arial"/>
          <w:sz w:val="20"/>
          <w:szCs w:val="20"/>
        </w:rPr>
        <w:t>ShareWELL</w:t>
      </w:r>
      <w:proofErr w:type="spellEnd"/>
      <w:r w:rsidRPr="006A75DE">
        <w:rPr>
          <w:rFonts w:ascii="Arial" w:hAnsi="Arial" w:cs="Arial"/>
          <w:sz w:val="20"/>
          <w:szCs w:val="20"/>
        </w:rPr>
        <w:t xml:space="preserve"> to find and utilize fair-cost healthcare services when appropriate.</w:t>
      </w:r>
    </w:p>
    <w:p w14:paraId="37D5E8BA" w14:textId="77777777" w:rsidR="0091475E" w:rsidRDefault="0091475E" w:rsidP="0091475E">
      <w:pPr>
        <w:spacing w:after="0" w:line="331" w:lineRule="auto"/>
        <w:rPr>
          <w:rFonts w:ascii="Arial" w:hAnsi="Arial" w:cs="Arial"/>
          <w:sz w:val="20"/>
          <w:szCs w:val="20"/>
        </w:rPr>
      </w:pPr>
    </w:p>
    <w:p w14:paraId="244E0382" w14:textId="77777777" w:rsidR="0091475E" w:rsidRDefault="0091475E" w:rsidP="0091475E">
      <w:pPr>
        <w:spacing w:after="0" w:line="331" w:lineRule="auto"/>
        <w:rPr>
          <w:rFonts w:ascii="Arial" w:hAnsi="Arial" w:cs="Arial"/>
          <w:b/>
          <w:bCs/>
          <w:sz w:val="20"/>
          <w:szCs w:val="20"/>
        </w:rPr>
      </w:pPr>
      <w:r w:rsidRPr="00FF232E">
        <w:rPr>
          <w:rFonts w:ascii="Arial" w:hAnsi="Arial" w:cs="Arial"/>
          <w:b/>
          <w:bCs/>
          <w:sz w:val="20"/>
          <w:szCs w:val="20"/>
        </w:rPr>
        <w:t>New Section</w:t>
      </w:r>
    </w:p>
    <w:p w14:paraId="5FE96732" w14:textId="77777777" w:rsidR="0091475E" w:rsidRPr="00FF232E" w:rsidRDefault="0091475E" w:rsidP="0091475E">
      <w:pPr>
        <w:spacing w:after="0" w:line="331" w:lineRule="auto"/>
        <w:rPr>
          <w:rFonts w:ascii="Arial" w:hAnsi="Arial" w:cs="Arial"/>
          <w:b/>
          <w:bCs/>
          <w:sz w:val="20"/>
          <w:szCs w:val="20"/>
        </w:rPr>
      </w:pPr>
    </w:p>
    <w:p w14:paraId="1828C242" w14:textId="77777777" w:rsidR="0091475E" w:rsidRPr="002A2B4F" w:rsidRDefault="0091475E" w:rsidP="0091475E">
      <w:pPr>
        <w:spacing w:after="200" w:line="276" w:lineRule="auto"/>
        <w:rPr>
          <w:rFonts w:ascii="Arial" w:hAnsi="Arial" w:cs="Arial"/>
          <w:b/>
          <w:bCs/>
          <w:sz w:val="20"/>
          <w:szCs w:val="20"/>
        </w:rPr>
      </w:pPr>
      <w:r w:rsidRPr="002A2B4F">
        <w:rPr>
          <w:rFonts w:ascii="Arial" w:hAnsi="Arial" w:cs="Arial"/>
          <w:b/>
          <w:bCs/>
          <w:sz w:val="20"/>
          <w:szCs w:val="20"/>
        </w:rPr>
        <w:t>Scheduled Care Review</w:t>
      </w:r>
    </w:p>
    <w:p w14:paraId="6EB11053" w14:textId="77777777" w:rsidR="0091475E" w:rsidRPr="002A2B4F" w:rsidRDefault="0091475E" w:rsidP="0091475E">
      <w:pPr>
        <w:spacing w:after="200" w:line="276" w:lineRule="auto"/>
        <w:rPr>
          <w:rFonts w:ascii="Arial" w:hAnsi="Arial" w:cs="Arial"/>
          <w:sz w:val="20"/>
          <w:szCs w:val="20"/>
        </w:rPr>
      </w:pPr>
      <w:r w:rsidRPr="002A2B4F">
        <w:rPr>
          <w:rFonts w:ascii="Arial" w:hAnsi="Arial" w:cs="Arial"/>
          <w:sz w:val="20"/>
          <w:szCs w:val="20"/>
        </w:rPr>
        <w:t xml:space="preserve">Certain non-emergency procedures may be placed under review to protect the community from inflated costs and allow time for negotiation with providers. Members are required to notify </w:t>
      </w:r>
      <w:proofErr w:type="spellStart"/>
      <w:r w:rsidRPr="002A2B4F">
        <w:rPr>
          <w:rFonts w:ascii="Arial" w:hAnsi="Arial" w:cs="Arial"/>
          <w:sz w:val="20"/>
          <w:szCs w:val="20"/>
        </w:rPr>
        <w:t>ShareWELL</w:t>
      </w:r>
      <w:proofErr w:type="spellEnd"/>
      <w:r w:rsidRPr="002A2B4F">
        <w:rPr>
          <w:rFonts w:ascii="Arial" w:hAnsi="Arial" w:cs="Arial"/>
          <w:sz w:val="20"/>
          <w:szCs w:val="20"/>
        </w:rPr>
        <w:t xml:space="preserve"> as soon as a procedure is recommended or scheduled. This ensures there is sufficient time to review costs, confirm eligibility, and arrange fair pricing before care takes place. Emergency procedures are never delayed or subject to this review.</w:t>
      </w:r>
    </w:p>
    <w:p w14:paraId="19CC42C1" w14:textId="77777777" w:rsidR="0091475E" w:rsidRPr="002A2B4F" w:rsidRDefault="0091475E" w:rsidP="0091475E">
      <w:pPr>
        <w:numPr>
          <w:ilvl w:val="0"/>
          <w:numId w:val="9"/>
        </w:numPr>
        <w:spacing w:after="200" w:line="276" w:lineRule="auto"/>
        <w:rPr>
          <w:rFonts w:ascii="Arial" w:hAnsi="Arial" w:cs="Arial"/>
          <w:sz w:val="20"/>
          <w:szCs w:val="20"/>
        </w:rPr>
      </w:pPr>
      <w:r w:rsidRPr="002A2B4F">
        <w:rPr>
          <w:rFonts w:ascii="Arial" w:hAnsi="Arial" w:cs="Arial"/>
          <w:sz w:val="20"/>
          <w:szCs w:val="20"/>
        </w:rPr>
        <w:t xml:space="preserve">A review period may last up to 30 days for </w:t>
      </w:r>
      <w:proofErr w:type="gramStart"/>
      <w:r w:rsidRPr="002A2B4F">
        <w:rPr>
          <w:rFonts w:ascii="Arial" w:hAnsi="Arial" w:cs="Arial"/>
          <w:sz w:val="20"/>
          <w:szCs w:val="20"/>
        </w:rPr>
        <w:t>scheduled,</w:t>
      </w:r>
      <w:proofErr w:type="gramEnd"/>
      <w:r w:rsidRPr="002A2B4F">
        <w:rPr>
          <w:rFonts w:ascii="Arial" w:hAnsi="Arial" w:cs="Arial"/>
          <w:sz w:val="20"/>
          <w:szCs w:val="20"/>
        </w:rPr>
        <w:t xml:space="preserve"> non-emergency procedures.</w:t>
      </w:r>
    </w:p>
    <w:p w14:paraId="4C29B0AB" w14:textId="77777777" w:rsidR="0091475E" w:rsidRPr="002A2B4F" w:rsidRDefault="0091475E" w:rsidP="0091475E">
      <w:pPr>
        <w:numPr>
          <w:ilvl w:val="0"/>
          <w:numId w:val="9"/>
        </w:numPr>
        <w:spacing w:after="200" w:line="276" w:lineRule="auto"/>
        <w:rPr>
          <w:rFonts w:ascii="Arial" w:hAnsi="Arial" w:cs="Arial"/>
          <w:sz w:val="20"/>
          <w:szCs w:val="20"/>
        </w:rPr>
      </w:pPr>
      <w:r w:rsidRPr="002A2B4F">
        <w:rPr>
          <w:rFonts w:ascii="Arial" w:hAnsi="Arial" w:cs="Arial"/>
          <w:sz w:val="20"/>
          <w:szCs w:val="20"/>
        </w:rPr>
        <w:t xml:space="preserve">Failure to notify </w:t>
      </w:r>
      <w:proofErr w:type="spellStart"/>
      <w:r w:rsidRPr="002A2B4F">
        <w:rPr>
          <w:rFonts w:ascii="Arial" w:hAnsi="Arial" w:cs="Arial"/>
          <w:sz w:val="20"/>
          <w:szCs w:val="20"/>
        </w:rPr>
        <w:t>ShareWELL</w:t>
      </w:r>
      <w:proofErr w:type="spellEnd"/>
      <w:r w:rsidRPr="002A2B4F">
        <w:rPr>
          <w:rFonts w:ascii="Arial" w:hAnsi="Arial" w:cs="Arial"/>
          <w:sz w:val="20"/>
          <w:szCs w:val="20"/>
        </w:rPr>
        <w:t xml:space="preserve"> in advance</w:t>
      </w:r>
      <w:r w:rsidRPr="00FF232E">
        <w:rPr>
          <w:rFonts w:ascii="Arial" w:hAnsi="Arial" w:cs="Arial"/>
          <w:sz w:val="20"/>
          <w:szCs w:val="20"/>
        </w:rPr>
        <w:t xml:space="preserve"> or in a timely manner</w:t>
      </w:r>
      <w:r w:rsidRPr="002A2B4F">
        <w:rPr>
          <w:rFonts w:ascii="Arial" w:hAnsi="Arial" w:cs="Arial"/>
          <w:sz w:val="20"/>
          <w:szCs w:val="20"/>
        </w:rPr>
        <w:t xml:space="preserve"> may result in reduced </w:t>
      </w:r>
      <w:proofErr w:type="gramStart"/>
      <w:r w:rsidRPr="002A2B4F">
        <w:rPr>
          <w:rFonts w:ascii="Arial" w:hAnsi="Arial" w:cs="Arial"/>
          <w:sz w:val="20"/>
          <w:szCs w:val="20"/>
        </w:rPr>
        <w:t>sharing</w:t>
      </w:r>
      <w:proofErr w:type="gramEnd"/>
      <w:r w:rsidRPr="002A2B4F">
        <w:rPr>
          <w:rFonts w:ascii="Arial" w:hAnsi="Arial" w:cs="Arial"/>
          <w:sz w:val="20"/>
          <w:szCs w:val="20"/>
        </w:rPr>
        <w:t xml:space="preserve"> eligibility.</w:t>
      </w:r>
    </w:p>
    <w:p w14:paraId="766B5FB1" w14:textId="77777777" w:rsidR="0091475E" w:rsidRPr="002A2B4F" w:rsidRDefault="0091475E" w:rsidP="0091475E">
      <w:pPr>
        <w:numPr>
          <w:ilvl w:val="0"/>
          <w:numId w:val="9"/>
        </w:numPr>
        <w:spacing w:after="200" w:line="276" w:lineRule="auto"/>
        <w:rPr>
          <w:rFonts w:ascii="Arial" w:hAnsi="Arial" w:cs="Arial"/>
          <w:sz w:val="20"/>
          <w:szCs w:val="20"/>
        </w:rPr>
      </w:pPr>
      <w:r w:rsidRPr="002A2B4F">
        <w:rPr>
          <w:rFonts w:ascii="Arial" w:hAnsi="Arial" w:cs="Arial"/>
          <w:sz w:val="20"/>
          <w:szCs w:val="20"/>
        </w:rPr>
        <w:t>Hospital-based procedures may be subject to limited sharing when lower-cost options such as outpatient or surgical centers are available.</w:t>
      </w:r>
    </w:p>
    <w:p w14:paraId="104305C3" w14:textId="77777777" w:rsidR="0091475E" w:rsidRPr="00646A92" w:rsidRDefault="0091475E" w:rsidP="0091475E">
      <w:pPr>
        <w:numPr>
          <w:ilvl w:val="0"/>
          <w:numId w:val="9"/>
        </w:numPr>
        <w:spacing w:after="200" w:line="276" w:lineRule="auto"/>
        <w:rPr>
          <w:rFonts w:ascii="Arial" w:hAnsi="Arial" w:cs="Arial"/>
          <w:sz w:val="20"/>
          <w:szCs w:val="20"/>
        </w:rPr>
      </w:pPr>
      <w:r w:rsidRPr="002A2B4F">
        <w:rPr>
          <w:rFonts w:ascii="Arial" w:hAnsi="Arial" w:cs="Arial"/>
          <w:sz w:val="20"/>
          <w:szCs w:val="20"/>
        </w:rPr>
        <w:t xml:space="preserve">Members who work with </w:t>
      </w:r>
      <w:proofErr w:type="spellStart"/>
      <w:r w:rsidRPr="002A2B4F">
        <w:rPr>
          <w:rFonts w:ascii="Arial" w:hAnsi="Arial" w:cs="Arial"/>
          <w:sz w:val="20"/>
          <w:szCs w:val="20"/>
        </w:rPr>
        <w:t>ShareWELL</w:t>
      </w:r>
      <w:proofErr w:type="spellEnd"/>
      <w:r w:rsidRPr="002A2B4F">
        <w:rPr>
          <w:rFonts w:ascii="Arial" w:hAnsi="Arial" w:cs="Arial"/>
          <w:sz w:val="20"/>
          <w:szCs w:val="20"/>
        </w:rPr>
        <w:t xml:space="preserve"> to find fair-cost providers may qualify for a reduction of their Unshared Amount (UA).</w:t>
      </w:r>
    </w:p>
    <w:p w14:paraId="7640B213" w14:textId="77777777" w:rsidR="0091475E" w:rsidRPr="00E60033" w:rsidRDefault="0091475E" w:rsidP="0091475E">
      <w:pPr>
        <w:spacing w:before="240" w:after="240"/>
        <w:rPr>
          <w:rFonts w:ascii="Arial" w:hAnsi="Arial" w:cs="Arial"/>
          <w:b/>
          <w:bCs/>
          <w:sz w:val="20"/>
          <w:szCs w:val="20"/>
        </w:rPr>
      </w:pPr>
      <w:r w:rsidRPr="006A75DE">
        <w:rPr>
          <w:rFonts w:ascii="Arial" w:hAnsi="Arial" w:cs="Arial"/>
          <w:b/>
          <w:bCs/>
          <w:sz w:val="20"/>
          <w:szCs w:val="20"/>
        </w:rPr>
        <w:t>Adding</w:t>
      </w:r>
      <w:r>
        <w:rPr>
          <w:rFonts w:ascii="Arial" w:hAnsi="Arial" w:cs="Arial"/>
          <w:b/>
          <w:bCs/>
          <w:sz w:val="20"/>
          <w:szCs w:val="20"/>
        </w:rPr>
        <w:t xml:space="preserve">: </w:t>
      </w:r>
      <w:r w:rsidRPr="00E60033">
        <w:rPr>
          <w:rFonts w:ascii="Arial" w:hAnsi="Arial" w:cs="Arial"/>
          <w:b/>
          <w:bCs/>
          <w:sz w:val="20"/>
          <w:szCs w:val="20"/>
        </w:rPr>
        <w:t>Initial 90-Day Ineligibility for Certain Conditions</w:t>
      </w:r>
    </w:p>
    <w:p w14:paraId="2AFC7180" w14:textId="77777777" w:rsidR="0091475E" w:rsidRPr="00E60033" w:rsidRDefault="0091475E" w:rsidP="0091475E">
      <w:pPr>
        <w:spacing w:before="240" w:after="240"/>
        <w:rPr>
          <w:rFonts w:ascii="Arial" w:hAnsi="Arial" w:cs="Arial"/>
          <w:sz w:val="20"/>
          <w:szCs w:val="20"/>
        </w:rPr>
      </w:pPr>
      <w:r w:rsidRPr="00E60033">
        <w:rPr>
          <w:rFonts w:ascii="Arial" w:hAnsi="Arial" w:cs="Arial"/>
          <w:b/>
          <w:bCs/>
          <w:sz w:val="20"/>
          <w:szCs w:val="20"/>
        </w:rPr>
        <w:br/>
      </w:r>
      <w:r w:rsidRPr="00E60033">
        <w:rPr>
          <w:rFonts w:ascii="Arial" w:hAnsi="Arial" w:cs="Arial"/>
          <w:sz w:val="20"/>
          <w:szCs w:val="20"/>
        </w:rPr>
        <w:t>The following conditions and any related treatment are not eligible for sharing if signs, symptoms, diagnosis, or treatment occur within the first 90 days of membership:</w:t>
      </w:r>
    </w:p>
    <w:p w14:paraId="319AF2E0" w14:textId="77777777" w:rsidR="0091475E" w:rsidRPr="00E60033" w:rsidRDefault="0091475E" w:rsidP="0091475E">
      <w:pPr>
        <w:numPr>
          <w:ilvl w:val="0"/>
          <w:numId w:val="8"/>
        </w:numPr>
        <w:spacing w:before="240" w:after="240"/>
        <w:rPr>
          <w:rFonts w:ascii="Arial" w:hAnsi="Arial" w:cs="Arial"/>
          <w:sz w:val="20"/>
          <w:szCs w:val="20"/>
        </w:rPr>
      </w:pPr>
      <w:r w:rsidRPr="00E60033">
        <w:rPr>
          <w:rFonts w:ascii="Arial" w:hAnsi="Arial" w:cs="Arial"/>
          <w:sz w:val="20"/>
          <w:szCs w:val="20"/>
        </w:rPr>
        <w:t>Gallbladder-related care – including gallstones, gallbladder removal, or related complications</w:t>
      </w:r>
    </w:p>
    <w:p w14:paraId="206437C5" w14:textId="77777777" w:rsidR="0091475E" w:rsidRPr="00E60033" w:rsidRDefault="0091475E" w:rsidP="0091475E">
      <w:pPr>
        <w:numPr>
          <w:ilvl w:val="0"/>
          <w:numId w:val="8"/>
        </w:numPr>
        <w:spacing w:before="240" w:after="240"/>
        <w:rPr>
          <w:rFonts w:ascii="Arial" w:hAnsi="Arial" w:cs="Arial"/>
          <w:sz w:val="20"/>
          <w:szCs w:val="20"/>
        </w:rPr>
      </w:pPr>
      <w:r w:rsidRPr="00E60033">
        <w:rPr>
          <w:rFonts w:ascii="Arial" w:hAnsi="Arial" w:cs="Arial"/>
          <w:sz w:val="20"/>
          <w:szCs w:val="20"/>
        </w:rPr>
        <w:lastRenderedPageBreak/>
        <w:t>Kidney stones – including diagnostic imaging, treatment, or removal procedures</w:t>
      </w:r>
    </w:p>
    <w:p w14:paraId="3FBC437A" w14:textId="77777777" w:rsidR="0091475E" w:rsidRDefault="0091475E" w:rsidP="0091475E">
      <w:pPr>
        <w:numPr>
          <w:ilvl w:val="0"/>
          <w:numId w:val="8"/>
        </w:numPr>
        <w:spacing w:before="240" w:after="240"/>
        <w:rPr>
          <w:rFonts w:ascii="Arial" w:hAnsi="Arial" w:cs="Arial"/>
          <w:sz w:val="20"/>
          <w:szCs w:val="20"/>
        </w:rPr>
      </w:pPr>
      <w:r w:rsidRPr="00E60033">
        <w:rPr>
          <w:rFonts w:ascii="Arial" w:hAnsi="Arial" w:cs="Arial"/>
          <w:sz w:val="20"/>
          <w:szCs w:val="20"/>
        </w:rPr>
        <w:t>Cancer – any form of diagnosis, staging, or active treatment</w:t>
      </w:r>
    </w:p>
    <w:p w14:paraId="34758107" w14:textId="77777777" w:rsidR="0091475E" w:rsidRPr="00E60033" w:rsidRDefault="0091475E" w:rsidP="0091475E">
      <w:pPr>
        <w:numPr>
          <w:ilvl w:val="0"/>
          <w:numId w:val="8"/>
        </w:numPr>
        <w:spacing w:before="240" w:after="240"/>
        <w:rPr>
          <w:rFonts w:ascii="Arial" w:hAnsi="Arial" w:cs="Arial"/>
          <w:sz w:val="20"/>
          <w:szCs w:val="20"/>
        </w:rPr>
      </w:pPr>
      <w:r>
        <w:rPr>
          <w:rFonts w:ascii="Arial" w:hAnsi="Arial" w:cs="Arial"/>
          <w:sz w:val="20"/>
          <w:szCs w:val="20"/>
        </w:rPr>
        <w:t xml:space="preserve">Tumors- Benign and malignant </w:t>
      </w:r>
    </w:p>
    <w:p w14:paraId="1AE3BDFD" w14:textId="77777777" w:rsidR="0091475E" w:rsidRPr="006A75DE" w:rsidRDefault="0091475E" w:rsidP="0091475E">
      <w:pPr>
        <w:spacing w:before="240" w:after="240"/>
        <w:rPr>
          <w:rFonts w:ascii="Arial" w:hAnsi="Arial" w:cs="Arial"/>
          <w:b/>
          <w:bCs/>
          <w:sz w:val="20"/>
          <w:szCs w:val="20"/>
        </w:rPr>
      </w:pPr>
      <w:r w:rsidRPr="006A75DE">
        <w:rPr>
          <w:rFonts w:ascii="Arial" w:hAnsi="Arial" w:cs="Arial"/>
          <w:b/>
          <w:bCs/>
          <w:sz w:val="20"/>
          <w:szCs w:val="20"/>
        </w:rPr>
        <w:t>New Guidelines:</w:t>
      </w:r>
    </w:p>
    <w:p w14:paraId="2DFC6196" w14:textId="77777777" w:rsidR="0091475E" w:rsidRDefault="0091475E" w:rsidP="0091475E">
      <w:pPr>
        <w:pStyle w:val="ListParagraph"/>
        <w:numPr>
          <w:ilvl w:val="0"/>
          <w:numId w:val="3"/>
        </w:numPr>
        <w:spacing w:before="240" w:after="240" w:line="331" w:lineRule="auto"/>
        <w:rPr>
          <w:rFonts w:ascii="Arial" w:hAnsi="Arial" w:cs="Arial"/>
          <w:sz w:val="20"/>
          <w:szCs w:val="20"/>
        </w:rPr>
      </w:pPr>
      <w:r w:rsidRPr="00AE254E">
        <w:rPr>
          <w:rFonts w:ascii="Arial" w:hAnsi="Arial" w:cs="Arial"/>
          <w:b/>
          <w:bCs/>
          <w:sz w:val="20"/>
          <w:szCs w:val="20"/>
        </w:rPr>
        <w:t xml:space="preserve">GLP-1 or </w:t>
      </w:r>
      <w:proofErr w:type="spellStart"/>
      <w:r w:rsidRPr="00AE254E">
        <w:rPr>
          <w:rFonts w:ascii="Arial" w:hAnsi="Arial" w:cs="Arial"/>
          <w:b/>
          <w:bCs/>
          <w:sz w:val="20"/>
          <w:szCs w:val="20"/>
        </w:rPr>
        <w:t>Semaglutide</w:t>
      </w:r>
      <w:proofErr w:type="spellEnd"/>
      <w:r w:rsidRPr="006A75DE">
        <w:rPr>
          <w:rFonts w:ascii="Arial" w:hAnsi="Arial" w:cs="Arial"/>
          <w:sz w:val="20"/>
          <w:szCs w:val="20"/>
        </w:rPr>
        <w:t xml:space="preserve"> </w:t>
      </w:r>
    </w:p>
    <w:p w14:paraId="463886B1" w14:textId="77777777" w:rsidR="0091475E" w:rsidRPr="00AC26EB" w:rsidRDefault="0091475E" w:rsidP="0091475E">
      <w:pPr>
        <w:spacing w:before="240" w:after="240" w:line="331" w:lineRule="auto"/>
        <w:ind w:firstLine="360"/>
        <w:rPr>
          <w:rFonts w:ascii="Arial" w:hAnsi="Arial" w:cs="Arial"/>
          <w:sz w:val="20"/>
          <w:szCs w:val="20"/>
        </w:rPr>
      </w:pPr>
      <w:r w:rsidRPr="00AC26EB">
        <w:rPr>
          <w:rFonts w:ascii="Arial" w:hAnsi="Arial" w:cs="Arial"/>
          <w:sz w:val="20"/>
          <w:szCs w:val="20"/>
        </w:rPr>
        <w:t>Complications are not eligible for sharing unless prescribed for diabetes treatment. </w:t>
      </w:r>
    </w:p>
    <w:p w14:paraId="01940DEB" w14:textId="77777777" w:rsidR="0091475E" w:rsidRPr="00F35336" w:rsidRDefault="0091475E" w:rsidP="0091475E">
      <w:pPr>
        <w:pStyle w:val="ListParagraph"/>
        <w:numPr>
          <w:ilvl w:val="0"/>
          <w:numId w:val="3"/>
        </w:numPr>
        <w:rPr>
          <w:rFonts w:ascii="Arial" w:hAnsi="Arial" w:cs="Arial"/>
          <w:b/>
          <w:bCs/>
          <w:sz w:val="20"/>
          <w:szCs w:val="20"/>
        </w:rPr>
      </w:pPr>
      <w:r w:rsidRPr="00F35336">
        <w:rPr>
          <w:rFonts w:ascii="Arial" w:hAnsi="Arial" w:cs="Arial"/>
          <w:b/>
          <w:bCs/>
          <w:sz w:val="20"/>
          <w:szCs w:val="20"/>
        </w:rPr>
        <w:t>Breast Reduction Surgery</w:t>
      </w:r>
    </w:p>
    <w:p w14:paraId="27E6AD24" w14:textId="77777777" w:rsidR="0091475E" w:rsidRPr="00F35336" w:rsidRDefault="0091475E" w:rsidP="0091475E">
      <w:pPr>
        <w:ind w:left="360"/>
        <w:rPr>
          <w:rFonts w:ascii="Arial" w:hAnsi="Arial" w:cs="Arial"/>
          <w:sz w:val="20"/>
          <w:szCs w:val="20"/>
        </w:rPr>
      </w:pPr>
      <w:r w:rsidRPr="00F35336">
        <w:rPr>
          <w:rFonts w:ascii="Arial" w:hAnsi="Arial" w:cs="Arial"/>
          <w:sz w:val="20"/>
          <w:szCs w:val="20"/>
        </w:rPr>
        <w:t>Eligible after the initial pre-existing waiting period for a one-time allowance of up to $8,000.</w:t>
      </w:r>
    </w:p>
    <w:p w14:paraId="578CFD78" w14:textId="77777777" w:rsidR="0091475E" w:rsidRPr="00F35336" w:rsidRDefault="0091475E" w:rsidP="0091475E">
      <w:pPr>
        <w:pStyle w:val="ListParagraph"/>
        <w:numPr>
          <w:ilvl w:val="0"/>
          <w:numId w:val="3"/>
        </w:numPr>
        <w:spacing w:before="240" w:after="240"/>
        <w:rPr>
          <w:rFonts w:ascii="Arial" w:hAnsi="Arial" w:cs="Arial"/>
          <w:sz w:val="20"/>
          <w:szCs w:val="20"/>
        </w:rPr>
      </w:pPr>
      <w:r w:rsidRPr="00AE254E">
        <w:rPr>
          <w:rFonts w:ascii="Arial" w:hAnsi="Arial" w:cs="Arial"/>
          <w:b/>
          <w:bCs/>
          <w:sz w:val="20"/>
          <w:szCs w:val="20"/>
        </w:rPr>
        <w:t xml:space="preserve">Diagnostic </w:t>
      </w:r>
      <w:r>
        <w:rPr>
          <w:rFonts w:ascii="Arial" w:hAnsi="Arial" w:cs="Arial"/>
          <w:b/>
          <w:bCs/>
          <w:sz w:val="20"/>
          <w:szCs w:val="20"/>
        </w:rPr>
        <w:t>C</w:t>
      </w:r>
      <w:r w:rsidRPr="00AE254E">
        <w:rPr>
          <w:rFonts w:ascii="Arial" w:hAnsi="Arial" w:cs="Arial"/>
          <w:b/>
          <w:bCs/>
          <w:sz w:val="20"/>
          <w:szCs w:val="20"/>
        </w:rPr>
        <w:t>olonoscopy</w:t>
      </w:r>
      <w:r w:rsidRPr="006A75DE">
        <w:rPr>
          <w:rFonts w:ascii="Arial" w:hAnsi="Arial" w:cs="Arial"/>
          <w:sz w:val="20"/>
          <w:szCs w:val="20"/>
        </w:rPr>
        <w:t xml:space="preserve"> </w:t>
      </w:r>
    </w:p>
    <w:p w14:paraId="56E4BD32" w14:textId="77777777" w:rsidR="0091475E" w:rsidRPr="00F35336" w:rsidRDefault="0091475E" w:rsidP="0091475E">
      <w:pPr>
        <w:spacing w:before="240" w:after="240"/>
        <w:ind w:left="360"/>
        <w:rPr>
          <w:rFonts w:ascii="Arial" w:hAnsi="Arial" w:cs="Arial"/>
          <w:sz w:val="20"/>
          <w:szCs w:val="20"/>
        </w:rPr>
      </w:pPr>
      <w:r>
        <w:rPr>
          <w:rFonts w:ascii="Arial" w:hAnsi="Arial" w:cs="Arial"/>
          <w:sz w:val="20"/>
          <w:szCs w:val="20"/>
        </w:rPr>
        <w:t>C</w:t>
      </w:r>
      <w:r w:rsidRPr="004D67CF">
        <w:rPr>
          <w:rFonts w:ascii="Arial" w:hAnsi="Arial" w:cs="Arial"/>
          <w:sz w:val="20"/>
          <w:szCs w:val="20"/>
        </w:rPr>
        <w:t>onsidered pre-</w:t>
      </w:r>
      <w:proofErr w:type="gramStart"/>
      <w:r w:rsidRPr="004D67CF">
        <w:rPr>
          <w:rFonts w:ascii="Arial" w:hAnsi="Arial" w:cs="Arial"/>
          <w:sz w:val="20"/>
          <w:szCs w:val="20"/>
        </w:rPr>
        <w:t>existing</w:t>
      </w:r>
      <w:proofErr w:type="gramEnd"/>
      <w:r w:rsidRPr="004D67CF">
        <w:rPr>
          <w:rFonts w:ascii="Arial" w:hAnsi="Arial" w:cs="Arial"/>
          <w:sz w:val="20"/>
          <w:szCs w:val="20"/>
        </w:rPr>
        <w:t xml:space="preserve"> and not shared in the first year of membership. A $2,000 per Sharing Request allowance for colonoscopy. </w:t>
      </w:r>
    </w:p>
    <w:p w14:paraId="203B0C2B" w14:textId="77777777" w:rsidR="0091475E" w:rsidRPr="006A75DE" w:rsidRDefault="0091475E" w:rsidP="0091475E">
      <w:pPr>
        <w:pStyle w:val="ListParagraph"/>
        <w:numPr>
          <w:ilvl w:val="0"/>
          <w:numId w:val="3"/>
        </w:numPr>
        <w:spacing w:before="240" w:after="240" w:line="331" w:lineRule="auto"/>
        <w:rPr>
          <w:rFonts w:ascii="Arial" w:hAnsi="Arial" w:cs="Arial"/>
          <w:b/>
          <w:bCs/>
          <w:sz w:val="20"/>
          <w:szCs w:val="20"/>
        </w:rPr>
      </w:pPr>
      <w:r w:rsidRPr="006A75DE">
        <w:rPr>
          <w:rFonts w:ascii="Arial" w:hAnsi="Arial" w:cs="Arial"/>
          <w:b/>
          <w:bCs/>
          <w:sz w:val="20"/>
          <w:szCs w:val="20"/>
        </w:rPr>
        <w:t>ER Visits for Non-Emergency</w:t>
      </w:r>
    </w:p>
    <w:p w14:paraId="144EA1C5" w14:textId="77777777" w:rsidR="0091475E" w:rsidRPr="006A75DE" w:rsidRDefault="0091475E" w:rsidP="0091475E">
      <w:pPr>
        <w:spacing w:before="240" w:after="240" w:line="331" w:lineRule="auto"/>
        <w:ind w:left="360"/>
        <w:rPr>
          <w:rFonts w:ascii="Arial" w:hAnsi="Arial" w:cs="Arial"/>
          <w:sz w:val="20"/>
          <w:szCs w:val="20"/>
        </w:rPr>
      </w:pPr>
      <w:r w:rsidRPr="006A75DE">
        <w:rPr>
          <w:rFonts w:ascii="Arial" w:hAnsi="Arial" w:cs="Arial"/>
          <w:sz w:val="20"/>
          <w:szCs w:val="20"/>
        </w:rPr>
        <w:t>The maximum sharing allowance is $10,000 per emergency room admission for non-life-threatening or care unrelated to a severe medical condition requiring immediate care. Examples include but are not limited to panic attack, anxiety, dehydration, and minor injury.  </w:t>
      </w:r>
    </w:p>
    <w:p w14:paraId="27A0B55F" w14:textId="77777777" w:rsidR="0091475E" w:rsidRPr="006A75DE" w:rsidRDefault="0091475E" w:rsidP="0091475E">
      <w:pPr>
        <w:pStyle w:val="ListParagraph"/>
        <w:numPr>
          <w:ilvl w:val="0"/>
          <w:numId w:val="3"/>
        </w:numPr>
        <w:spacing w:before="240" w:after="240" w:line="331" w:lineRule="auto"/>
        <w:rPr>
          <w:rFonts w:ascii="Arial" w:hAnsi="Arial" w:cs="Arial"/>
          <w:b/>
          <w:bCs/>
          <w:sz w:val="20"/>
          <w:szCs w:val="20"/>
        </w:rPr>
      </w:pPr>
      <w:r w:rsidRPr="006A75DE">
        <w:rPr>
          <w:rFonts w:ascii="Arial" w:hAnsi="Arial" w:cs="Arial"/>
          <w:b/>
          <w:bCs/>
          <w:sz w:val="20"/>
          <w:szCs w:val="20"/>
        </w:rPr>
        <w:t xml:space="preserve">Ambulance for </w:t>
      </w:r>
      <w:proofErr w:type="gramStart"/>
      <w:r w:rsidRPr="006A75DE">
        <w:rPr>
          <w:rFonts w:ascii="Arial" w:hAnsi="Arial" w:cs="Arial"/>
          <w:b/>
          <w:bCs/>
          <w:sz w:val="20"/>
          <w:szCs w:val="20"/>
        </w:rPr>
        <w:t>Non-Emergency</w:t>
      </w:r>
      <w:proofErr w:type="gramEnd"/>
    </w:p>
    <w:p w14:paraId="5B5AB6D5" w14:textId="77777777" w:rsidR="0091475E" w:rsidRPr="006A75DE" w:rsidRDefault="0091475E" w:rsidP="0091475E">
      <w:pPr>
        <w:spacing w:before="240" w:after="240" w:line="331" w:lineRule="auto"/>
        <w:ind w:left="360"/>
        <w:rPr>
          <w:rFonts w:ascii="Arial" w:hAnsi="Arial" w:cs="Arial"/>
          <w:sz w:val="20"/>
          <w:szCs w:val="20"/>
        </w:rPr>
      </w:pPr>
      <w:r w:rsidRPr="006A75DE">
        <w:rPr>
          <w:rFonts w:ascii="Arial" w:hAnsi="Arial" w:cs="Arial"/>
          <w:sz w:val="20"/>
          <w:szCs w:val="20"/>
        </w:rPr>
        <w:t xml:space="preserve">The maximum </w:t>
      </w:r>
      <w:proofErr w:type="gramStart"/>
      <w:r w:rsidRPr="006A75DE">
        <w:rPr>
          <w:rFonts w:ascii="Arial" w:hAnsi="Arial" w:cs="Arial"/>
          <w:sz w:val="20"/>
          <w:szCs w:val="20"/>
        </w:rPr>
        <w:t>sharing</w:t>
      </w:r>
      <w:proofErr w:type="gramEnd"/>
      <w:r w:rsidRPr="006A75DE">
        <w:rPr>
          <w:rFonts w:ascii="Arial" w:hAnsi="Arial" w:cs="Arial"/>
          <w:sz w:val="20"/>
          <w:szCs w:val="20"/>
        </w:rPr>
        <w:t xml:space="preserve"> allowance is $1,000 for non-life-threatening or non-emergency care. </w:t>
      </w:r>
    </w:p>
    <w:p w14:paraId="4224E17F" w14:textId="77777777" w:rsidR="0091475E" w:rsidRPr="006A75DE" w:rsidRDefault="0091475E" w:rsidP="0091475E">
      <w:pPr>
        <w:pStyle w:val="ListParagraph"/>
        <w:numPr>
          <w:ilvl w:val="0"/>
          <w:numId w:val="3"/>
        </w:numPr>
        <w:spacing w:before="240" w:after="240" w:line="331" w:lineRule="auto"/>
        <w:rPr>
          <w:rFonts w:ascii="Arial" w:hAnsi="Arial" w:cs="Arial"/>
          <w:sz w:val="20"/>
          <w:szCs w:val="20"/>
        </w:rPr>
      </w:pPr>
      <w:r w:rsidRPr="006A75DE">
        <w:rPr>
          <w:rFonts w:ascii="Arial" w:hAnsi="Arial" w:cs="Arial"/>
          <w:b/>
          <w:bCs/>
          <w:sz w:val="20"/>
          <w:szCs w:val="20"/>
        </w:rPr>
        <w:t>Newborn Congenital Conditions</w:t>
      </w:r>
      <w:r w:rsidRPr="006A75DE">
        <w:rPr>
          <w:rFonts w:ascii="Arial" w:hAnsi="Arial" w:cs="Arial"/>
          <w:sz w:val="20"/>
          <w:szCs w:val="20"/>
        </w:rPr>
        <w:t> </w:t>
      </w:r>
    </w:p>
    <w:p w14:paraId="1BEB8FFE" w14:textId="77777777" w:rsidR="0091475E" w:rsidRPr="006A75DE" w:rsidRDefault="0091475E" w:rsidP="0091475E">
      <w:pPr>
        <w:spacing w:before="240" w:after="240" w:line="331" w:lineRule="auto"/>
        <w:ind w:left="360"/>
        <w:rPr>
          <w:rFonts w:ascii="Arial" w:hAnsi="Arial" w:cs="Arial"/>
          <w:sz w:val="20"/>
          <w:szCs w:val="20"/>
        </w:rPr>
      </w:pPr>
      <w:r w:rsidRPr="006A75DE">
        <w:rPr>
          <w:rFonts w:ascii="Arial" w:hAnsi="Arial" w:cs="Arial"/>
          <w:sz w:val="20"/>
          <w:szCs w:val="20"/>
        </w:rPr>
        <w:t xml:space="preserve">For children born from an eligible Maternity Sharing Request, sharing is limited to $125,000 for medical bills related to congenital conditions after the initial hospital discharge. </w:t>
      </w:r>
    </w:p>
    <w:p w14:paraId="36FFC85C" w14:textId="77777777" w:rsidR="0091475E" w:rsidRPr="006A75DE" w:rsidRDefault="0091475E" w:rsidP="0091475E">
      <w:pPr>
        <w:pStyle w:val="ListParagraph"/>
        <w:numPr>
          <w:ilvl w:val="0"/>
          <w:numId w:val="3"/>
        </w:numPr>
        <w:spacing w:before="240" w:after="240" w:line="331" w:lineRule="auto"/>
        <w:rPr>
          <w:rFonts w:ascii="Arial" w:hAnsi="Arial" w:cs="Arial"/>
          <w:b/>
          <w:bCs/>
          <w:sz w:val="20"/>
          <w:szCs w:val="20"/>
        </w:rPr>
      </w:pPr>
      <w:r w:rsidRPr="006A75DE">
        <w:rPr>
          <w:rFonts w:ascii="Arial" w:hAnsi="Arial" w:cs="Arial"/>
          <w:b/>
          <w:bCs/>
          <w:sz w:val="20"/>
          <w:szCs w:val="20"/>
        </w:rPr>
        <w:t>NICU (Neonatal Intensive Care Unit)</w:t>
      </w:r>
    </w:p>
    <w:p w14:paraId="0DB63709" w14:textId="77777777" w:rsidR="0091475E" w:rsidRPr="006A75DE" w:rsidRDefault="0091475E" w:rsidP="0091475E">
      <w:pPr>
        <w:spacing w:before="240" w:after="240" w:line="331" w:lineRule="auto"/>
        <w:ind w:left="360"/>
        <w:rPr>
          <w:rFonts w:ascii="Arial" w:hAnsi="Arial" w:cs="Arial"/>
          <w:sz w:val="20"/>
          <w:szCs w:val="20"/>
        </w:rPr>
      </w:pPr>
      <w:r w:rsidRPr="006A75DE">
        <w:rPr>
          <w:rFonts w:ascii="Arial" w:hAnsi="Arial" w:cs="Arial"/>
          <w:sz w:val="20"/>
          <w:szCs w:val="20"/>
        </w:rPr>
        <w:t>For NICU admission sharing is limited to 35 days after birth.  </w:t>
      </w:r>
    </w:p>
    <w:p w14:paraId="2269FDEF" w14:textId="77777777" w:rsidR="0091475E" w:rsidRPr="006A75DE" w:rsidRDefault="0091475E" w:rsidP="0091475E">
      <w:pPr>
        <w:pStyle w:val="ListParagraph"/>
        <w:numPr>
          <w:ilvl w:val="0"/>
          <w:numId w:val="3"/>
        </w:numPr>
        <w:spacing w:before="240" w:after="240" w:line="331" w:lineRule="auto"/>
        <w:rPr>
          <w:rFonts w:ascii="Arial" w:hAnsi="Arial" w:cs="Arial"/>
          <w:sz w:val="20"/>
          <w:szCs w:val="20"/>
        </w:rPr>
      </w:pPr>
      <w:r w:rsidRPr="006A75DE">
        <w:rPr>
          <w:rFonts w:ascii="Arial" w:hAnsi="Arial" w:cs="Arial"/>
          <w:b/>
          <w:bCs/>
          <w:sz w:val="20"/>
          <w:szCs w:val="20"/>
        </w:rPr>
        <w:t>Prescriptions</w:t>
      </w:r>
    </w:p>
    <w:p w14:paraId="573F6D00" w14:textId="77777777" w:rsidR="0091475E" w:rsidRPr="006A75DE" w:rsidRDefault="0091475E" w:rsidP="0091475E">
      <w:pPr>
        <w:ind w:left="360"/>
        <w:rPr>
          <w:rFonts w:ascii="Arial" w:hAnsi="Arial" w:cs="Arial"/>
          <w:sz w:val="20"/>
          <w:szCs w:val="20"/>
        </w:rPr>
      </w:pPr>
      <w:r w:rsidRPr="006A75DE">
        <w:rPr>
          <w:rFonts w:ascii="Arial" w:hAnsi="Arial" w:cs="Arial"/>
          <w:sz w:val="20"/>
          <w:szCs w:val="20"/>
        </w:rPr>
        <w:t>Prescriptions are considered eligible when related to the treatment of an approved Sharing Request that does not have a pre-existing limitation and is ordered by a licensed provider. Sharing in all prescription costs is limited to whichever comes first, 12 months or $100,000 per Sharing Request.</w:t>
      </w:r>
    </w:p>
    <w:p w14:paraId="3745752A" w14:textId="77777777" w:rsidR="0091475E" w:rsidRPr="006A75DE" w:rsidRDefault="0091475E" w:rsidP="0091475E">
      <w:pPr>
        <w:pStyle w:val="ListParagraph"/>
        <w:numPr>
          <w:ilvl w:val="0"/>
          <w:numId w:val="3"/>
        </w:numPr>
        <w:spacing w:before="240" w:after="240" w:line="331" w:lineRule="auto"/>
        <w:rPr>
          <w:rFonts w:ascii="Arial" w:hAnsi="Arial" w:cs="Arial"/>
          <w:b/>
          <w:sz w:val="20"/>
          <w:szCs w:val="20"/>
        </w:rPr>
      </w:pPr>
      <w:r w:rsidRPr="006A75DE">
        <w:rPr>
          <w:rFonts w:ascii="Arial" w:hAnsi="Arial" w:cs="Arial"/>
          <w:b/>
          <w:sz w:val="20"/>
          <w:szCs w:val="20"/>
        </w:rPr>
        <w:lastRenderedPageBreak/>
        <w:t>Second Opinions</w:t>
      </w:r>
    </w:p>
    <w:p w14:paraId="7EAC8FC4" w14:textId="77777777" w:rsidR="0091475E" w:rsidRPr="006A75DE" w:rsidRDefault="0091475E" w:rsidP="0091475E">
      <w:pPr>
        <w:spacing w:before="240" w:after="240" w:line="331" w:lineRule="auto"/>
        <w:ind w:left="360"/>
        <w:rPr>
          <w:rFonts w:ascii="Arial" w:hAnsi="Arial" w:cs="Arial"/>
          <w:bCs/>
          <w:sz w:val="20"/>
          <w:szCs w:val="20"/>
        </w:rPr>
      </w:pPr>
      <w:r w:rsidRPr="006A75DE">
        <w:rPr>
          <w:rFonts w:ascii="Arial" w:hAnsi="Arial" w:cs="Arial"/>
          <w:bCs/>
          <w:sz w:val="20"/>
          <w:szCs w:val="20"/>
        </w:rPr>
        <w:t>A second opinion of a diagnosis or recommended procedure is an eligible expense.</w:t>
      </w:r>
    </w:p>
    <w:p w14:paraId="3D14454B" w14:textId="77777777" w:rsidR="0091475E" w:rsidRPr="006A75DE" w:rsidRDefault="0091475E" w:rsidP="0091475E">
      <w:pPr>
        <w:pStyle w:val="ListParagraph"/>
        <w:numPr>
          <w:ilvl w:val="0"/>
          <w:numId w:val="3"/>
        </w:numPr>
        <w:spacing w:before="240" w:after="240" w:line="331" w:lineRule="auto"/>
        <w:rPr>
          <w:rFonts w:ascii="Arial" w:hAnsi="Arial" w:cs="Arial"/>
          <w:bCs/>
          <w:sz w:val="20"/>
          <w:szCs w:val="20"/>
        </w:rPr>
      </w:pPr>
      <w:r w:rsidRPr="006A75DE">
        <w:rPr>
          <w:rFonts w:ascii="Arial" w:hAnsi="Arial" w:cs="Arial"/>
          <w:b/>
          <w:sz w:val="20"/>
          <w:szCs w:val="20"/>
        </w:rPr>
        <w:t>Surgical Repairs &amp; Revisions</w:t>
      </w:r>
      <w:r>
        <w:rPr>
          <w:rFonts w:ascii="Arial" w:hAnsi="Arial" w:cs="Arial"/>
          <w:b/>
          <w:sz w:val="20"/>
          <w:szCs w:val="20"/>
        </w:rPr>
        <w:t xml:space="preserve"> (added to treated as pre-existing)</w:t>
      </w:r>
    </w:p>
    <w:p w14:paraId="4DB32816" w14:textId="77777777" w:rsidR="0091475E" w:rsidRDefault="0091475E" w:rsidP="0091475E">
      <w:pPr>
        <w:ind w:left="360"/>
        <w:rPr>
          <w:rFonts w:ascii="Arial" w:hAnsi="Arial" w:cs="Arial"/>
          <w:sz w:val="20"/>
          <w:szCs w:val="20"/>
        </w:rPr>
      </w:pPr>
      <w:r w:rsidRPr="006A75DE">
        <w:rPr>
          <w:rFonts w:ascii="Arial" w:hAnsi="Arial" w:cs="Arial"/>
          <w:sz w:val="20"/>
          <w:szCs w:val="20"/>
        </w:rPr>
        <w:t>Any procedure that is intended to revise, repair, or correct a prior surgery regardless of when or where the original surgery was performed. This includes, but is not limited to, procedures addressing complications, failed outcomes, or enhancements of previous surgeries.</w:t>
      </w:r>
    </w:p>
    <w:p w14:paraId="6D15A5A9" w14:textId="77777777" w:rsidR="0091475E" w:rsidRPr="000C3123" w:rsidRDefault="0091475E" w:rsidP="0091475E">
      <w:pPr>
        <w:pStyle w:val="ListParagraph"/>
        <w:numPr>
          <w:ilvl w:val="0"/>
          <w:numId w:val="3"/>
        </w:numPr>
        <w:rPr>
          <w:rFonts w:ascii="Arial" w:hAnsi="Arial" w:cs="Arial"/>
          <w:b/>
          <w:bCs/>
          <w:sz w:val="20"/>
          <w:szCs w:val="20"/>
        </w:rPr>
      </w:pPr>
      <w:r w:rsidRPr="000C3123">
        <w:rPr>
          <w:rFonts w:ascii="Arial" w:hAnsi="Arial" w:cs="Arial"/>
          <w:b/>
          <w:bCs/>
          <w:sz w:val="20"/>
          <w:szCs w:val="20"/>
        </w:rPr>
        <w:t>Gerd/Acid Reflux</w:t>
      </w:r>
    </w:p>
    <w:p w14:paraId="72814425" w14:textId="77777777" w:rsidR="0091475E" w:rsidRPr="000C3123" w:rsidRDefault="0091475E" w:rsidP="0091475E">
      <w:pPr>
        <w:spacing w:before="240" w:after="240" w:line="331" w:lineRule="auto"/>
        <w:ind w:left="360"/>
        <w:rPr>
          <w:rFonts w:ascii="Arial" w:hAnsi="Arial" w:cs="Arial"/>
          <w:bCs/>
          <w:sz w:val="20"/>
          <w:szCs w:val="20"/>
        </w:rPr>
      </w:pPr>
      <w:r w:rsidRPr="006A75DE">
        <w:rPr>
          <w:rFonts w:ascii="Arial" w:hAnsi="Arial" w:cs="Arial"/>
          <w:bCs/>
          <w:sz w:val="20"/>
          <w:szCs w:val="20"/>
        </w:rPr>
        <w:t>Added to treated as pre-existing list.</w:t>
      </w:r>
    </w:p>
    <w:p w14:paraId="6420341A" w14:textId="77777777" w:rsidR="0091475E" w:rsidRPr="006A75DE" w:rsidRDefault="0091475E" w:rsidP="0091475E">
      <w:pPr>
        <w:pStyle w:val="ListParagraph"/>
        <w:numPr>
          <w:ilvl w:val="0"/>
          <w:numId w:val="3"/>
        </w:numPr>
        <w:spacing w:before="240" w:after="240" w:line="331" w:lineRule="auto"/>
        <w:rPr>
          <w:rFonts w:ascii="Arial" w:hAnsi="Arial" w:cs="Arial"/>
          <w:bCs/>
          <w:sz w:val="20"/>
          <w:szCs w:val="20"/>
        </w:rPr>
      </w:pPr>
      <w:r w:rsidRPr="006A75DE">
        <w:rPr>
          <w:rFonts w:ascii="Arial" w:hAnsi="Arial" w:cs="Arial"/>
          <w:b/>
          <w:sz w:val="20"/>
          <w:szCs w:val="20"/>
        </w:rPr>
        <w:t>Varicose Veins</w:t>
      </w:r>
    </w:p>
    <w:p w14:paraId="427BC29B" w14:textId="77777777" w:rsidR="0091475E" w:rsidRPr="006A75DE" w:rsidRDefault="0091475E" w:rsidP="0091475E">
      <w:pPr>
        <w:spacing w:before="240" w:after="240" w:line="331" w:lineRule="auto"/>
        <w:ind w:left="360"/>
        <w:rPr>
          <w:rFonts w:ascii="Arial" w:hAnsi="Arial" w:cs="Arial"/>
          <w:bCs/>
          <w:sz w:val="20"/>
          <w:szCs w:val="20"/>
        </w:rPr>
      </w:pPr>
      <w:r w:rsidRPr="006A75DE">
        <w:rPr>
          <w:rFonts w:ascii="Arial" w:hAnsi="Arial" w:cs="Arial"/>
          <w:bCs/>
          <w:sz w:val="20"/>
          <w:szCs w:val="20"/>
        </w:rPr>
        <w:t>Added to treated as pre-existing list.</w:t>
      </w:r>
    </w:p>
    <w:p w14:paraId="20E58323" w14:textId="77777777" w:rsidR="0091475E" w:rsidRPr="006A75DE" w:rsidRDefault="0091475E" w:rsidP="0091475E">
      <w:pPr>
        <w:spacing w:before="240" w:after="240"/>
        <w:rPr>
          <w:rFonts w:ascii="Arial" w:hAnsi="Arial" w:cs="Arial"/>
          <w:b/>
          <w:bCs/>
          <w:sz w:val="20"/>
          <w:szCs w:val="20"/>
        </w:rPr>
      </w:pPr>
      <w:r w:rsidRPr="006A75DE">
        <w:rPr>
          <w:rFonts w:ascii="Arial" w:hAnsi="Arial" w:cs="Arial"/>
          <w:b/>
          <w:bCs/>
          <w:sz w:val="20"/>
          <w:szCs w:val="20"/>
        </w:rPr>
        <w:t>Updates:</w:t>
      </w:r>
    </w:p>
    <w:p w14:paraId="1FE48C7D" w14:textId="77777777" w:rsidR="0091475E" w:rsidRDefault="0091475E" w:rsidP="0091475E">
      <w:pPr>
        <w:pStyle w:val="ListParagraph"/>
        <w:numPr>
          <w:ilvl w:val="0"/>
          <w:numId w:val="3"/>
        </w:numPr>
        <w:spacing w:before="240" w:after="240"/>
        <w:rPr>
          <w:rFonts w:ascii="Arial" w:hAnsi="Arial" w:cs="Arial"/>
          <w:sz w:val="20"/>
          <w:szCs w:val="20"/>
        </w:rPr>
      </w:pPr>
      <w:r w:rsidRPr="006A75DE">
        <w:rPr>
          <w:rFonts w:ascii="Arial" w:hAnsi="Arial" w:cs="Arial"/>
          <w:sz w:val="20"/>
          <w:szCs w:val="20"/>
        </w:rPr>
        <w:t xml:space="preserve">Increased medical supply allowance from $1,000 to $3,000 per Sharing Request. </w:t>
      </w:r>
    </w:p>
    <w:p w14:paraId="1DEE68C9" w14:textId="77777777" w:rsidR="0091475E" w:rsidRPr="006A75DE" w:rsidRDefault="0091475E" w:rsidP="0091475E">
      <w:pPr>
        <w:pStyle w:val="ListParagraph"/>
        <w:numPr>
          <w:ilvl w:val="0"/>
          <w:numId w:val="3"/>
        </w:numPr>
        <w:spacing w:before="240" w:after="240"/>
        <w:rPr>
          <w:rFonts w:ascii="Arial" w:hAnsi="Arial" w:cs="Arial"/>
          <w:sz w:val="20"/>
          <w:szCs w:val="20"/>
        </w:rPr>
      </w:pPr>
      <w:r>
        <w:rPr>
          <w:rFonts w:ascii="Arial" w:hAnsi="Arial" w:cs="Arial"/>
          <w:sz w:val="20"/>
          <w:szCs w:val="20"/>
        </w:rPr>
        <w:t>Increased allowance for prenatal and postnatal care from $5,000 to $6,000 per Sharing Request.</w:t>
      </w:r>
    </w:p>
    <w:p w14:paraId="5E36A489" w14:textId="77777777" w:rsidR="0091475E" w:rsidRPr="006A75DE" w:rsidRDefault="0091475E" w:rsidP="0091475E">
      <w:pPr>
        <w:pStyle w:val="ListParagraph"/>
        <w:numPr>
          <w:ilvl w:val="0"/>
          <w:numId w:val="3"/>
        </w:numPr>
        <w:spacing w:before="240" w:after="240"/>
        <w:rPr>
          <w:rFonts w:ascii="Arial" w:hAnsi="Arial" w:cs="Arial"/>
          <w:sz w:val="20"/>
          <w:szCs w:val="20"/>
        </w:rPr>
      </w:pPr>
      <w:r w:rsidRPr="006A75DE">
        <w:rPr>
          <w:rFonts w:ascii="Arial" w:hAnsi="Arial" w:cs="Arial"/>
          <w:sz w:val="20"/>
          <w:szCs w:val="20"/>
        </w:rPr>
        <w:t>Clarifying the Sharing Request Allowance section.</w:t>
      </w:r>
    </w:p>
    <w:p w14:paraId="7152FA7A" w14:textId="77777777" w:rsidR="0091475E" w:rsidRPr="006A75DE" w:rsidRDefault="0091475E" w:rsidP="0091475E">
      <w:pPr>
        <w:pStyle w:val="ListParagraph"/>
        <w:numPr>
          <w:ilvl w:val="0"/>
          <w:numId w:val="3"/>
        </w:numPr>
        <w:spacing w:before="240" w:after="240"/>
        <w:rPr>
          <w:rFonts w:ascii="Arial" w:hAnsi="Arial" w:cs="Arial"/>
          <w:sz w:val="20"/>
          <w:szCs w:val="20"/>
        </w:rPr>
      </w:pPr>
      <w:r w:rsidRPr="006A75DE">
        <w:rPr>
          <w:rFonts w:ascii="Arial" w:hAnsi="Arial" w:cs="Arial"/>
          <w:sz w:val="20"/>
          <w:szCs w:val="20"/>
        </w:rPr>
        <w:t xml:space="preserve">Tobacco usage changed from one per year to once per month. If applied members pay a $100 monthly surcharge. </w:t>
      </w:r>
    </w:p>
    <w:p w14:paraId="17600AF1" w14:textId="77777777" w:rsidR="0091475E" w:rsidRPr="006A75DE" w:rsidRDefault="0091475E" w:rsidP="0091475E">
      <w:pPr>
        <w:pStyle w:val="ListParagraph"/>
        <w:numPr>
          <w:ilvl w:val="0"/>
          <w:numId w:val="3"/>
        </w:numPr>
        <w:spacing w:before="240" w:after="240"/>
        <w:rPr>
          <w:rFonts w:ascii="Arial" w:hAnsi="Arial" w:cs="Arial"/>
          <w:sz w:val="20"/>
          <w:szCs w:val="20"/>
        </w:rPr>
      </w:pPr>
      <w:r w:rsidRPr="006A75DE">
        <w:rPr>
          <w:rFonts w:ascii="Arial" w:hAnsi="Arial" w:cs="Arial"/>
          <w:sz w:val="20"/>
          <w:szCs w:val="20"/>
        </w:rPr>
        <w:t>Minor changes to language throughout the Member Guidelines that provide clarity but do not change how Sharing Requests are determined.</w:t>
      </w:r>
    </w:p>
    <w:p w14:paraId="7FE88D0D" w14:textId="77777777" w:rsidR="00DB7437" w:rsidRPr="00E179A2" w:rsidRDefault="00DB7437" w:rsidP="007C2F0A">
      <w:pPr>
        <w:spacing w:before="240" w:after="240"/>
        <w:rPr>
          <w:rFonts w:ascii="Arial" w:hAnsi="Arial" w:cs="Arial"/>
        </w:rPr>
      </w:pPr>
    </w:p>
    <w:sectPr w:rsidR="00DB7437" w:rsidRPr="00E179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222A" w14:textId="77777777" w:rsidR="00F16C75" w:rsidRDefault="00F16C75">
      <w:pPr>
        <w:spacing w:after="0" w:line="240" w:lineRule="auto"/>
      </w:pPr>
      <w:r>
        <w:separator/>
      </w:r>
    </w:p>
  </w:endnote>
  <w:endnote w:type="continuationSeparator" w:id="0">
    <w:p w14:paraId="02A8A326" w14:textId="77777777" w:rsidR="00F16C75" w:rsidRDefault="00F1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D20E00" w14:paraId="76C3EF01" w14:textId="77777777" w:rsidTr="6AD20E00">
      <w:trPr>
        <w:trHeight w:val="300"/>
      </w:trPr>
      <w:tc>
        <w:tcPr>
          <w:tcW w:w="3120" w:type="dxa"/>
        </w:tcPr>
        <w:p w14:paraId="4F844CC0" w14:textId="208CCD34" w:rsidR="6AD20E00" w:rsidRDefault="6AD20E00" w:rsidP="6AD20E00">
          <w:pPr>
            <w:pStyle w:val="Header"/>
            <w:ind w:left="-115"/>
          </w:pPr>
        </w:p>
      </w:tc>
      <w:tc>
        <w:tcPr>
          <w:tcW w:w="3120" w:type="dxa"/>
        </w:tcPr>
        <w:p w14:paraId="44C9D547" w14:textId="69C0ABD5" w:rsidR="6AD20E00" w:rsidRDefault="6AD20E00" w:rsidP="6AD20E00">
          <w:pPr>
            <w:pStyle w:val="Header"/>
            <w:jc w:val="center"/>
          </w:pPr>
        </w:p>
      </w:tc>
      <w:tc>
        <w:tcPr>
          <w:tcW w:w="3120" w:type="dxa"/>
        </w:tcPr>
        <w:p w14:paraId="3AF8855A" w14:textId="01280389" w:rsidR="6AD20E00" w:rsidRDefault="6AD20E00" w:rsidP="6AD20E00">
          <w:pPr>
            <w:pStyle w:val="Header"/>
            <w:ind w:right="-115"/>
            <w:jc w:val="right"/>
          </w:pPr>
        </w:p>
      </w:tc>
    </w:tr>
  </w:tbl>
  <w:p w14:paraId="536D4C3F" w14:textId="681052ED" w:rsidR="6AD20E00" w:rsidRDefault="6AD20E00" w:rsidP="6AD2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A52B" w14:textId="77777777" w:rsidR="00F16C75" w:rsidRDefault="00F16C75">
      <w:pPr>
        <w:spacing w:after="0" w:line="240" w:lineRule="auto"/>
      </w:pPr>
      <w:r>
        <w:separator/>
      </w:r>
    </w:p>
  </w:footnote>
  <w:footnote w:type="continuationSeparator" w:id="0">
    <w:p w14:paraId="77EFCBE8" w14:textId="77777777" w:rsidR="00F16C75" w:rsidRDefault="00F1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D20E00" w14:paraId="2A7522EC" w14:textId="77777777" w:rsidTr="6AD20E00">
      <w:trPr>
        <w:trHeight w:val="300"/>
      </w:trPr>
      <w:tc>
        <w:tcPr>
          <w:tcW w:w="3120" w:type="dxa"/>
        </w:tcPr>
        <w:p w14:paraId="44F35C9A" w14:textId="24011795" w:rsidR="6AD20E00" w:rsidRDefault="6AD20E00" w:rsidP="6AD20E00">
          <w:pPr>
            <w:pStyle w:val="Header"/>
            <w:ind w:left="-115"/>
          </w:pPr>
        </w:p>
      </w:tc>
      <w:tc>
        <w:tcPr>
          <w:tcW w:w="3120" w:type="dxa"/>
        </w:tcPr>
        <w:p w14:paraId="186FC085" w14:textId="1E99FC17" w:rsidR="6AD20E00" w:rsidRDefault="6AD20E00" w:rsidP="6AD20E00">
          <w:pPr>
            <w:pStyle w:val="Header"/>
            <w:jc w:val="center"/>
          </w:pPr>
          <w:r>
            <w:rPr>
              <w:noProof/>
            </w:rPr>
            <w:drawing>
              <wp:inline distT="0" distB="0" distL="0" distR="0" wp14:anchorId="02B28598" wp14:editId="1127EFA3">
                <wp:extent cx="1838325" cy="514350"/>
                <wp:effectExtent l="0" t="0" r="0" b="0"/>
                <wp:docPr id="463559045" name="Picture 46355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14350"/>
                        </a:xfrm>
                        <a:prstGeom prst="rect">
                          <a:avLst/>
                        </a:prstGeom>
                      </pic:spPr>
                    </pic:pic>
                  </a:graphicData>
                </a:graphic>
              </wp:inline>
            </w:drawing>
          </w:r>
        </w:p>
      </w:tc>
      <w:tc>
        <w:tcPr>
          <w:tcW w:w="3120" w:type="dxa"/>
        </w:tcPr>
        <w:p w14:paraId="6AE4DC15" w14:textId="14DB3378" w:rsidR="6AD20E00" w:rsidRDefault="6AD20E00" w:rsidP="6AD20E00">
          <w:pPr>
            <w:pStyle w:val="Header"/>
            <w:ind w:right="-115"/>
            <w:jc w:val="right"/>
          </w:pPr>
        </w:p>
      </w:tc>
    </w:tr>
  </w:tbl>
  <w:p w14:paraId="283156C1" w14:textId="4C04DA71" w:rsidR="6AD20E00" w:rsidRDefault="6AD20E00" w:rsidP="6AD2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9E3B"/>
    <w:multiLevelType w:val="hybridMultilevel"/>
    <w:tmpl w:val="50DED374"/>
    <w:lvl w:ilvl="0" w:tplc="9612C08E">
      <w:start w:val="1"/>
      <w:numFmt w:val="bullet"/>
      <w:lvlText w:val=""/>
      <w:lvlJc w:val="left"/>
      <w:pPr>
        <w:ind w:left="720" w:hanging="360"/>
      </w:pPr>
      <w:rPr>
        <w:rFonts w:ascii="Symbol" w:hAnsi="Symbol" w:hint="default"/>
      </w:rPr>
    </w:lvl>
    <w:lvl w:ilvl="1" w:tplc="BA96C4DA">
      <w:start w:val="1"/>
      <w:numFmt w:val="bullet"/>
      <w:lvlText w:val="o"/>
      <w:lvlJc w:val="left"/>
      <w:pPr>
        <w:ind w:left="1440" w:hanging="360"/>
      </w:pPr>
      <w:rPr>
        <w:rFonts w:ascii="Courier New" w:hAnsi="Courier New" w:hint="default"/>
      </w:rPr>
    </w:lvl>
    <w:lvl w:ilvl="2" w:tplc="975C3DA6">
      <w:start w:val="1"/>
      <w:numFmt w:val="bullet"/>
      <w:lvlText w:val=""/>
      <w:lvlJc w:val="left"/>
      <w:pPr>
        <w:ind w:left="2160" w:hanging="360"/>
      </w:pPr>
      <w:rPr>
        <w:rFonts w:ascii="Wingdings" w:hAnsi="Wingdings" w:hint="default"/>
      </w:rPr>
    </w:lvl>
    <w:lvl w:ilvl="3" w:tplc="5394B950">
      <w:start w:val="1"/>
      <w:numFmt w:val="bullet"/>
      <w:lvlText w:val=""/>
      <w:lvlJc w:val="left"/>
      <w:pPr>
        <w:ind w:left="2880" w:hanging="360"/>
      </w:pPr>
      <w:rPr>
        <w:rFonts w:ascii="Symbol" w:hAnsi="Symbol" w:hint="default"/>
      </w:rPr>
    </w:lvl>
    <w:lvl w:ilvl="4" w:tplc="B8900CD2">
      <w:start w:val="1"/>
      <w:numFmt w:val="bullet"/>
      <w:lvlText w:val="o"/>
      <w:lvlJc w:val="left"/>
      <w:pPr>
        <w:ind w:left="3600" w:hanging="360"/>
      </w:pPr>
      <w:rPr>
        <w:rFonts w:ascii="Courier New" w:hAnsi="Courier New" w:hint="default"/>
      </w:rPr>
    </w:lvl>
    <w:lvl w:ilvl="5" w:tplc="44084DB8">
      <w:start w:val="1"/>
      <w:numFmt w:val="bullet"/>
      <w:lvlText w:val=""/>
      <w:lvlJc w:val="left"/>
      <w:pPr>
        <w:ind w:left="4320" w:hanging="360"/>
      </w:pPr>
      <w:rPr>
        <w:rFonts w:ascii="Wingdings" w:hAnsi="Wingdings" w:hint="default"/>
      </w:rPr>
    </w:lvl>
    <w:lvl w:ilvl="6" w:tplc="F1C80EAE">
      <w:start w:val="1"/>
      <w:numFmt w:val="bullet"/>
      <w:lvlText w:val=""/>
      <w:lvlJc w:val="left"/>
      <w:pPr>
        <w:ind w:left="5040" w:hanging="360"/>
      </w:pPr>
      <w:rPr>
        <w:rFonts w:ascii="Symbol" w:hAnsi="Symbol" w:hint="default"/>
      </w:rPr>
    </w:lvl>
    <w:lvl w:ilvl="7" w:tplc="972AD0BE">
      <w:start w:val="1"/>
      <w:numFmt w:val="bullet"/>
      <w:lvlText w:val="o"/>
      <w:lvlJc w:val="left"/>
      <w:pPr>
        <w:ind w:left="5760" w:hanging="360"/>
      </w:pPr>
      <w:rPr>
        <w:rFonts w:ascii="Courier New" w:hAnsi="Courier New" w:hint="default"/>
      </w:rPr>
    </w:lvl>
    <w:lvl w:ilvl="8" w:tplc="80A8120A">
      <w:start w:val="1"/>
      <w:numFmt w:val="bullet"/>
      <w:lvlText w:val=""/>
      <w:lvlJc w:val="left"/>
      <w:pPr>
        <w:ind w:left="6480" w:hanging="360"/>
      </w:pPr>
      <w:rPr>
        <w:rFonts w:ascii="Wingdings" w:hAnsi="Wingdings" w:hint="default"/>
      </w:rPr>
    </w:lvl>
  </w:abstractNum>
  <w:abstractNum w:abstractNumId="1" w15:restartNumberingAfterBreak="0">
    <w:nsid w:val="422B1F9F"/>
    <w:multiLevelType w:val="multilevel"/>
    <w:tmpl w:val="B6F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47B05"/>
    <w:multiLevelType w:val="multilevel"/>
    <w:tmpl w:val="A8D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B360C"/>
    <w:multiLevelType w:val="multilevel"/>
    <w:tmpl w:val="77A6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45D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C11ED4"/>
    <w:multiLevelType w:val="multilevel"/>
    <w:tmpl w:val="DAD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369A5"/>
    <w:multiLevelType w:val="multilevel"/>
    <w:tmpl w:val="3C36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116B4"/>
    <w:multiLevelType w:val="hybridMultilevel"/>
    <w:tmpl w:val="426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F764E"/>
    <w:multiLevelType w:val="multilevel"/>
    <w:tmpl w:val="E3C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518769">
    <w:abstractNumId w:val="0"/>
  </w:num>
  <w:num w:numId="2" w16cid:durableId="521940733">
    <w:abstractNumId w:val="4"/>
  </w:num>
  <w:num w:numId="3" w16cid:durableId="784352670">
    <w:abstractNumId w:val="7"/>
  </w:num>
  <w:num w:numId="4" w16cid:durableId="1086807449">
    <w:abstractNumId w:val="2"/>
  </w:num>
  <w:num w:numId="5" w16cid:durableId="347679205">
    <w:abstractNumId w:val="6"/>
  </w:num>
  <w:num w:numId="6" w16cid:durableId="468743898">
    <w:abstractNumId w:val="8"/>
  </w:num>
  <w:num w:numId="7" w16cid:durableId="1006175581">
    <w:abstractNumId w:val="5"/>
  </w:num>
  <w:num w:numId="8" w16cid:durableId="1828328390">
    <w:abstractNumId w:val="3"/>
  </w:num>
  <w:num w:numId="9" w16cid:durableId="68081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1D951"/>
    <w:rsid w:val="000351FE"/>
    <w:rsid w:val="00077501"/>
    <w:rsid w:val="001E5371"/>
    <w:rsid w:val="001F0EF8"/>
    <w:rsid w:val="001F1E8F"/>
    <w:rsid w:val="0027620C"/>
    <w:rsid w:val="00285148"/>
    <w:rsid w:val="002B3D6E"/>
    <w:rsid w:val="003174A3"/>
    <w:rsid w:val="00317601"/>
    <w:rsid w:val="00326BB4"/>
    <w:rsid w:val="0033391A"/>
    <w:rsid w:val="00352E13"/>
    <w:rsid w:val="003A4381"/>
    <w:rsid w:val="003A59BF"/>
    <w:rsid w:val="00416CE2"/>
    <w:rsid w:val="00473112"/>
    <w:rsid w:val="004B033A"/>
    <w:rsid w:val="005D1F2B"/>
    <w:rsid w:val="00630470"/>
    <w:rsid w:val="00686F1A"/>
    <w:rsid w:val="006C4B35"/>
    <w:rsid w:val="00761765"/>
    <w:rsid w:val="00767E6D"/>
    <w:rsid w:val="007C2F0A"/>
    <w:rsid w:val="0080392C"/>
    <w:rsid w:val="008072EC"/>
    <w:rsid w:val="008328F9"/>
    <w:rsid w:val="00864E94"/>
    <w:rsid w:val="008731DE"/>
    <w:rsid w:val="008C5B2D"/>
    <w:rsid w:val="008D3294"/>
    <w:rsid w:val="008E34E0"/>
    <w:rsid w:val="0091475E"/>
    <w:rsid w:val="009C09B3"/>
    <w:rsid w:val="00A24770"/>
    <w:rsid w:val="00A57B30"/>
    <w:rsid w:val="00AA5C2B"/>
    <w:rsid w:val="00AD2B94"/>
    <w:rsid w:val="00AF6617"/>
    <w:rsid w:val="00B0551E"/>
    <w:rsid w:val="00B636F6"/>
    <w:rsid w:val="00B76AA6"/>
    <w:rsid w:val="00BB0E10"/>
    <w:rsid w:val="00BD38ED"/>
    <w:rsid w:val="00BF0061"/>
    <w:rsid w:val="00C85D27"/>
    <w:rsid w:val="00CB3241"/>
    <w:rsid w:val="00D049D7"/>
    <w:rsid w:val="00D23957"/>
    <w:rsid w:val="00D6642A"/>
    <w:rsid w:val="00D84723"/>
    <w:rsid w:val="00DB7437"/>
    <w:rsid w:val="00DE2E17"/>
    <w:rsid w:val="00E02C5F"/>
    <w:rsid w:val="00E179A2"/>
    <w:rsid w:val="00EC4B73"/>
    <w:rsid w:val="00EE1814"/>
    <w:rsid w:val="00EE5F43"/>
    <w:rsid w:val="00F16C75"/>
    <w:rsid w:val="00F4592A"/>
    <w:rsid w:val="00F459E1"/>
    <w:rsid w:val="00F51191"/>
    <w:rsid w:val="00F82F9A"/>
    <w:rsid w:val="00FF47E2"/>
    <w:rsid w:val="132FCA22"/>
    <w:rsid w:val="144C13FC"/>
    <w:rsid w:val="3A17DD01"/>
    <w:rsid w:val="3A8B87FF"/>
    <w:rsid w:val="411E851D"/>
    <w:rsid w:val="47A6E5A6"/>
    <w:rsid w:val="4CC66EC4"/>
    <w:rsid w:val="5DF81299"/>
    <w:rsid w:val="652619FF"/>
    <w:rsid w:val="6991D951"/>
    <w:rsid w:val="6AD20E00"/>
    <w:rsid w:val="7282F766"/>
    <w:rsid w:val="72D2C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D951"/>
  <w15:chartTrackingRefBased/>
  <w15:docId w15:val="{7674AB80-9419-44E8-A592-552FA2FE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67026">
      <w:bodyDiv w:val="1"/>
      <w:marLeft w:val="0"/>
      <w:marRight w:val="0"/>
      <w:marTop w:val="0"/>
      <w:marBottom w:val="0"/>
      <w:divBdr>
        <w:top w:val="none" w:sz="0" w:space="0" w:color="auto"/>
        <w:left w:val="none" w:sz="0" w:space="0" w:color="auto"/>
        <w:bottom w:val="none" w:sz="0" w:space="0" w:color="auto"/>
        <w:right w:val="none" w:sz="0" w:space="0" w:color="auto"/>
      </w:divBdr>
    </w:div>
    <w:div w:id="19367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Hirsch</dc:creator>
  <cp:keywords/>
  <dc:description/>
  <cp:lastModifiedBy>Tim H</cp:lastModifiedBy>
  <cp:revision>48</cp:revision>
  <dcterms:created xsi:type="dcterms:W3CDTF">2024-08-23T12:41:00Z</dcterms:created>
  <dcterms:modified xsi:type="dcterms:W3CDTF">2025-08-05T11:57:00Z</dcterms:modified>
</cp:coreProperties>
</file>